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3795F" w14:textId="718339C1" w:rsidR="009A425D" w:rsidRDefault="006E4B08" w:rsidP="006E4B08">
      <w:pPr>
        <w:pStyle w:val="berschrift1"/>
      </w:pPr>
      <w:r>
        <w:t xml:space="preserve">Kurzprotokoll des online PKD-Symposiums „Familiäre Zystennieren“ v. 19. Juni 2021 </w:t>
      </w:r>
    </w:p>
    <w:p w14:paraId="524B849E" w14:textId="6A858FD0" w:rsidR="006E4B08" w:rsidRDefault="00294415">
      <w:hyperlink r:id="rId6" w:history="1">
        <w:r w:rsidR="005611AE" w:rsidRPr="004D71D6">
          <w:rPr>
            <w:rStyle w:val="Hyperlink"/>
          </w:rPr>
          <w:t>https://www.pkdcure.de/index.php?page=pkd-symposium</w:t>
        </w:r>
      </w:hyperlink>
    </w:p>
    <w:p w14:paraId="1E61F054" w14:textId="77777777" w:rsidR="005611AE" w:rsidRDefault="005611AE"/>
    <w:p w14:paraId="3E659659" w14:textId="37B03B7F" w:rsidR="006E4B08" w:rsidRDefault="006E4B08" w:rsidP="006E4B08">
      <w:pPr>
        <w:pStyle w:val="Listenabsatz"/>
        <w:numPr>
          <w:ilvl w:val="0"/>
          <w:numId w:val="1"/>
        </w:numPr>
      </w:pPr>
      <w:r w:rsidRPr="007E3531">
        <w:rPr>
          <w:b/>
          <w:bCs/>
          <w:sz w:val="28"/>
          <w:szCs w:val="28"/>
        </w:rPr>
        <w:t>Maßnahmen bei PKD und CKD (</w:t>
      </w:r>
      <w:proofErr w:type="spellStart"/>
      <w:r w:rsidRPr="007E3531">
        <w:rPr>
          <w:b/>
          <w:bCs/>
          <w:sz w:val="28"/>
          <w:szCs w:val="28"/>
        </w:rPr>
        <w:t>Chronic</w:t>
      </w:r>
      <w:proofErr w:type="spellEnd"/>
      <w:r w:rsidRPr="007E3531">
        <w:rPr>
          <w:b/>
          <w:bCs/>
          <w:sz w:val="28"/>
          <w:szCs w:val="28"/>
        </w:rPr>
        <w:t xml:space="preserve"> </w:t>
      </w:r>
      <w:proofErr w:type="spellStart"/>
      <w:r w:rsidRPr="007E3531">
        <w:rPr>
          <w:b/>
          <w:bCs/>
          <w:sz w:val="28"/>
          <w:szCs w:val="28"/>
        </w:rPr>
        <w:t>Kidney</w:t>
      </w:r>
      <w:proofErr w:type="spellEnd"/>
      <w:r w:rsidRPr="007E3531">
        <w:rPr>
          <w:b/>
          <w:bCs/>
          <w:sz w:val="28"/>
          <w:szCs w:val="28"/>
        </w:rPr>
        <w:t xml:space="preserve"> Disease)</w:t>
      </w:r>
      <w:r w:rsidRPr="007E3531">
        <w:rPr>
          <w:b/>
          <w:bCs/>
          <w:sz w:val="28"/>
          <w:szCs w:val="28"/>
        </w:rPr>
        <w:br/>
      </w:r>
      <w:r>
        <w:t xml:space="preserve">Vortrag von Dr. Christoph </w:t>
      </w:r>
      <w:proofErr w:type="spellStart"/>
      <w:r>
        <w:t>Schmaderer</w:t>
      </w:r>
      <w:proofErr w:type="spellEnd"/>
      <w:r>
        <w:t xml:space="preserve">, Klinikum rechts der Isar, Abt. Nephrologie </w:t>
      </w:r>
    </w:p>
    <w:p w14:paraId="2E8AB9CF" w14:textId="3E1A4F9C" w:rsidR="00F904BC" w:rsidRPr="009E3F44" w:rsidRDefault="00F904BC" w:rsidP="00F904BC">
      <w:pPr>
        <w:pStyle w:val="Listenabsatz"/>
        <w:numPr>
          <w:ilvl w:val="1"/>
          <w:numId w:val="1"/>
        </w:numPr>
        <w:rPr>
          <w:b/>
          <w:bCs/>
        </w:rPr>
      </w:pPr>
      <w:r w:rsidRPr="009E3F44">
        <w:rPr>
          <w:b/>
          <w:bCs/>
        </w:rPr>
        <w:t>Blutdruck</w:t>
      </w:r>
    </w:p>
    <w:p w14:paraId="126CF023" w14:textId="74ABD788" w:rsidR="00F904BC" w:rsidRDefault="00F904BC" w:rsidP="00F904BC">
      <w:pPr>
        <w:pStyle w:val="Listenabsatz"/>
        <w:numPr>
          <w:ilvl w:val="2"/>
          <w:numId w:val="1"/>
        </w:numPr>
      </w:pPr>
      <w:r>
        <w:t>Arterielle Hypertonie vor dem 35. Lebensjahr ist schlecht lt. einer Studie v. 2014 im New England Journal…</w:t>
      </w:r>
    </w:p>
    <w:p w14:paraId="05A33405" w14:textId="1471930A" w:rsidR="00F904BC" w:rsidRDefault="00F904BC" w:rsidP="00F904BC">
      <w:pPr>
        <w:pStyle w:val="Listenabsatz"/>
        <w:numPr>
          <w:ilvl w:val="2"/>
          <w:numId w:val="1"/>
        </w:numPr>
      </w:pPr>
      <w:r>
        <w:t xml:space="preserve">Zielblutdruck für 18-50jährige mit einer </w:t>
      </w:r>
      <w:proofErr w:type="spellStart"/>
      <w:r>
        <w:t>eGFR</w:t>
      </w:r>
      <w:proofErr w:type="spellEnd"/>
      <w:r>
        <w:t xml:space="preserve"> &lt;60 ml/min/1.73m</w:t>
      </w:r>
      <w:r w:rsidRPr="00F904BC">
        <w:rPr>
          <w:vertAlign w:val="superscript"/>
        </w:rPr>
        <w:t>2</w:t>
      </w:r>
      <w:r>
        <w:rPr>
          <w:vertAlign w:val="superscript"/>
        </w:rPr>
        <w:t xml:space="preserve"> </w:t>
      </w:r>
      <w:r>
        <w:t xml:space="preserve">sollte &lt; 110/75 </w:t>
      </w:r>
      <w:proofErr w:type="spellStart"/>
      <w:r>
        <w:t>mmHG</w:t>
      </w:r>
      <w:proofErr w:type="spellEnd"/>
      <w:r>
        <w:t xml:space="preserve"> sein.</w:t>
      </w:r>
    </w:p>
    <w:p w14:paraId="13B292C5" w14:textId="7F7876E9" w:rsidR="00F904BC" w:rsidRDefault="00F904BC" w:rsidP="00F904BC">
      <w:pPr>
        <w:pStyle w:val="Listenabsatz"/>
        <w:numPr>
          <w:ilvl w:val="2"/>
          <w:numId w:val="1"/>
        </w:numPr>
      </w:pPr>
      <w:r>
        <w:t xml:space="preserve">Alle anderen Patienten Blutdruckziel &lt;130/80 </w:t>
      </w:r>
      <w:proofErr w:type="spellStart"/>
      <w:r>
        <w:t>mmHG</w:t>
      </w:r>
      <w:proofErr w:type="spellEnd"/>
    </w:p>
    <w:p w14:paraId="4B76C83F" w14:textId="6A4A6233" w:rsidR="00F904BC" w:rsidRDefault="00F904BC" w:rsidP="00F904BC">
      <w:pPr>
        <w:pStyle w:val="Listenabsatz"/>
        <w:numPr>
          <w:ilvl w:val="2"/>
          <w:numId w:val="1"/>
        </w:numPr>
      </w:pPr>
      <w:r>
        <w:t>Die Nieren vergrößern sich langsamer, wenn der Blutdruck niedriger ist, allerdings konnte man keinen Einflu</w:t>
      </w:r>
      <w:r w:rsidR="009E3F44">
        <w:t>ss</w:t>
      </w:r>
      <w:r>
        <w:t xml:space="preserve"> auf die GFR feststellen (in der Publikation v. 2014)</w:t>
      </w:r>
    </w:p>
    <w:p w14:paraId="6329E6DB" w14:textId="0CF34662" w:rsidR="00F904BC" w:rsidRDefault="00F904BC" w:rsidP="00F904BC">
      <w:pPr>
        <w:pStyle w:val="Listenabsatz"/>
        <w:numPr>
          <w:ilvl w:val="2"/>
          <w:numId w:val="1"/>
        </w:numPr>
      </w:pPr>
      <w:r>
        <w:t xml:space="preserve">In einer 2. Studie v. 2017 stellte man fest, dass sich die </w:t>
      </w:r>
      <w:proofErr w:type="spellStart"/>
      <w:r>
        <w:t>eGFR</w:t>
      </w:r>
      <w:proofErr w:type="spellEnd"/>
      <w:r>
        <w:t xml:space="preserve"> verlangsamte bei Patienten, die lt. Mayo-Klassifikation in den Gruppen 1D-E waren.</w:t>
      </w:r>
    </w:p>
    <w:p w14:paraId="6BDFC5FC" w14:textId="0D915ECF" w:rsidR="00F904BC" w:rsidRDefault="00F904BC" w:rsidP="00F904BC">
      <w:pPr>
        <w:pStyle w:val="Listenabsatz"/>
        <w:numPr>
          <w:ilvl w:val="2"/>
          <w:numId w:val="1"/>
        </w:numPr>
      </w:pPr>
      <w:r>
        <w:t xml:space="preserve">Die </w:t>
      </w:r>
      <w:proofErr w:type="spellStart"/>
      <w:r>
        <w:t>Mayoklinik</w:t>
      </w:r>
      <w:proofErr w:type="spellEnd"/>
      <w:r>
        <w:t xml:space="preserve"> in den USA ist sehr renommiert und hat die sog. Mayo-Klassifikation entwickelt, nach der die Nierengröße in Weite/Tiefe usw. gemessen wird.</w:t>
      </w:r>
      <w:r>
        <w:br/>
        <w:t xml:space="preserve">Eine Therapie mit </w:t>
      </w:r>
      <w:proofErr w:type="spellStart"/>
      <w:r>
        <w:t>Tolvaptan</w:t>
      </w:r>
      <w:proofErr w:type="spellEnd"/>
      <w:r>
        <w:t xml:space="preserve"> ist primär wirkungsvoll bei den Gruppen 1C-1D</w:t>
      </w:r>
    </w:p>
    <w:p w14:paraId="1CEEEF63" w14:textId="19322605" w:rsidR="007E3531" w:rsidRDefault="007E3531" w:rsidP="00F904BC">
      <w:pPr>
        <w:pStyle w:val="Listenabsatz"/>
        <w:numPr>
          <w:ilvl w:val="2"/>
          <w:numId w:val="1"/>
        </w:numPr>
      </w:pPr>
      <w:r>
        <w:t>Kombination verschiedener Blutdruckmedikamente: die früher gerne verschriebene Kombination aus ACE-Hemmern (-</w:t>
      </w:r>
      <w:proofErr w:type="spellStart"/>
      <w:r>
        <w:t>pril</w:t>
      </w:r>
      <w:proofErr w:type="spellEnd"/>
      <w:r>
        <w:t>) mit Sartanen (-</w:t>
      </w:r>
      <w:proofErr w:type="spellStart"/>
      <w:r>
        <w:t>tarn</w:t>
      </w:r>
      <w:proofErr w:type="spellEnd"/>
      <w:r>
        <w:t>) hat sich nicht als vorteilhaft bei ADPKD erwiesen.</w:t>
      </w:r>
    </w:p>
    <w:p w14:paraId="33E95AC5" w14:textId="0335AB20" w:rsidR="007E3531" w:rsidRDefault="007E3531" w:rsidP="00F904BC">
      <w:pPr>
        <w:pStyle w:val="Listenabsatz"/>
        <w:numPr>
          <w:ilvl w:val="2"/>
          <w:numId w:val="1"/>
        </w:numPr>
      </w:pPr>
      <w:r>
        <w:t>Welche Möglichkeiten gibt es, den Blutdruck zu messen: Eigene Messungen zuhause und 24-Std. Blutdruckmessung</w:t>
      </w:r>
    </w:p>
    <w:p w14:paraId="3CF2902A" w14:textId="393D605A" w:rsidR="007E3531" w:rsidRPr="009E3F44" w:rsidRDefault="007E3531" w:rsidP="007E3531">
      <w:pPr>
        <w:pStyle w:val="Listenabsatz"/>
        <w:numPr>
          <w:ilvl w:val="1"/>
          <w:numId w:val="1"/>
        </w:numPr>
        <w:rPr>
          <w:b/>
          <w:bCs/>
        </w:rPr>
      </w:pPr>
      <w:r w:rsidRPr="009E3F44">
        <w:rPr>
          <w:b/>
          <w:bCs/>
        </w:rPr>
        <w:t>Ernährung</w:t>
      </w:r>
    </w:p>
    <w:p w14:paraId="02A62262" w14:textId="29DE588D" w:rsidR="007E3531" w:rsidRDefault="007E3531" w:rsidP="007E3531">
      <w:pPr>
        <w:pStyle w:val="Listenabsatz"/>
        <w:numPr>
          <w:ilvl w:val="2"/>
          <w:numId w:val="1"/>
        </w:numPr>
      </w:pPr>
      <w:r>
        <w:t>Kochsalzreduktion auf ca. 5-6 g. Hier kann man eine Messung der 24 Std.-Natrium-Ausscheidung machen, um die Menge des konsumierten Kochsalzes zu bestimmen.</w:t>
      </w:r>
    </w:p>
    <w:p w14:paraId="51F7E6EC" w14:textId="6CAEAE7E" w:rsidR="007E3531" w:rsidRDefault="007E3531" w:rsidP="007E3531">
      <w:pPr>
        <w:pStyle w:val="Listenabsatz"/>
        <w:numPr>
          <w:ilvl w:val="2"/>
          <w:numId w:val="1"/>
        </w:numPr>
      </w:pPr>
      <w:r>
        <w:t>Trinkmenge: 3-3,5 l bei einer GFR &gt;30, bei GFR &lt;30 nicht mehr so viel trinken. Man hat entdeckt, dass bei Patienten mit guter Nierenfunktion eine große Trinkmenge die Vasopressin-Ausschüttung hemmt?</w:t>
      </w:r>
    </w:p>
    <w:p w14:paraId="04690399" w14:textId="226013EA" w:rsidR="007E3531" w:rsidRDefault="007E3531" w:rsidP="007E3531">
      <w:pPr>
        <w:pStyle w:val="Listenabsatz"/>
        <w:numPr>
          <w:ilvl w:val="2"/>
          <w:numId w:val="1"/>
        </w:numPr>
      </w:pPr>
      <w:r>
        <w:t>Gewichtskontrolle: BMI sollte unter 25 sein.</w:t>
      </w:r>
    </w:p>
    <w:p w14:paraId="5AE8B692" w14:textId="184E9B63" w:rsidR="007E3531" w:rsidRDefault="007E3531" w:rsidP="007E3531">
      <w:pPr>
        <w:pStyle w:val="Listenabsatz"/>
        <w:numPr>
          <w:ilvl w:val="2"/>
          <w:numId w:val="1"/>
        </w:numPr>
      </w:pPr>
      <w:r>
        <w:t>Mediterrane Ernährung ist sinnvoll: Viel Obst und Gemüse, Fisch, kalorienarme Milchprodukte</w:t>
      </w:r>
    </w:p>
    <w:p w14:paraId="1AABF178" w14:textId="5971EFFA" w:rsidR="007E3531" w:rsidRDefault="007E3531" w:rsidP="007E3531">
      <w:pPr>
        <w:pStyle w:val="Listenabsatz"/>
        <w:numPr>
          <w:ilvl w:val="2"/>
          <w:numId w:val="1"/>
        </w:numPr>
      </w:pPr>
      <w:r>
        <w:t xml:space="preserve">Kaffee: ist </w:t>
      </w:r>
      <w:proofErr w:type="spellStart"/>
      <w:r>
        <w:t>o.k</w:t>
      </w:r>
      <w:proofErr w:type="spellEnd"/>
      <w:r>
        <w:t>, wenn nicht mehr als 4 Tassen täglich, dasselbe gilt für schwarzen oder grünen Tee</w:t>
      </w:r>
    </w:p>
    <w:p w14:paraId="03103473" w14:textId="513434F5" w:rsidR="007E3531" w:rsidRPr="009E3F44" w:rsidRDefault="007E3531" w:rsidP="007E3531">
      <w:pPr>
        <w:pStyle w:val="Listenabsatz"/>
        <w:numPr>
          <w:ilvl w:val="1"/>
          <w:numId w:val="1"/>
        </w:numPr>
        <w:rPr>
          <w:b/>
          <w:bCs/>
        </w:rPr>
      </w:pPr>
      <w:r w:rsidRPr="009E3F44">
        <w:rPr>
          <w:b/>
          <w:bCs/>
        </w:rPr>
        <w:t>Körperliche Aktivität /gesundes Leben</w:t>
      </w:r>
    </w:p>
    <w:p w14:paraId="441729B9" w14:textId="478241C2" w:rsidR="007E3531" w:rsidRDefault="009E3F44" w:rsidP="007E3531">
      <w:pPr>
        <w:pStyle w:val="Listenabsatz"/>
        <w:numPr>
          <w:ilvl w:val="2"/>
          <w:numId w:val="1"/>
        </w:numPr>
      </w:pPr>
      <w:r>
        <w:t>Bewegung, Sport s</w:t>
      </w:r>
      <w:r w:rsidR="007E3531">
        <w:t>o viel wie möglich</w:t>
      </w:r>
    </w:p>
    <w:p w14:paraId="6E48C726" w14:textId="78961158" w:rsidR="007E3531" w:rsidRDefault="007E3531" w:rsidP="007E3531">
      <w:pPr>
        <w:pStyle w:val="Listenabsatz"/>
        <w:numPr>
          <w:ilvl w:val="2"/>
          <w:numId w:val="1"/>
        </w:numPr>
        <w:spacing w:after="360"/>
        <w:ind w:left="1077" w:hanging="357"/>
      </w:pPr>
      <w:r>
        <w:t>Rauchen möglichst vermeiden. Allgemein ist Rauchen ein Risikofaktor zur Verschlechterung der Nierenfunktion und Bildung von Gehirnaneurysmen durch die Gefäßverengung</w:t>
      </w:r>
    </w:p>
    <w:p w14:paraId="14116E43" w14:textId="08DC5536" w:rsidR="007E3531" w:rsidRDefault="00BC5AC0" w:rsidP="007E3531">
      <w:pPr>
        <w:pStyle w:val="Listenabsatz"/>
        <w:numPr>
          <w:ilvl w:val="0"/>
          <w:numId w:val="1"/>
        </w:numPr>
        <w:spacing w:before="360"/>
        <w:ind w:left="357" w:hanging="357"/>
      </w:pPr>
      <w:r w:rsidRPr="009E3F44">
        <w:rPr>
          <w:b/>
          <w:bCs/>
          <w:sz w:val="28"/>
          <w:szCs w:val="28"/>
        </w:rPr>
        <w:t>Wenn die Nieren ausfallen – Teil 1: Dialyse</w:t>
      </w:r>
      <w:r w:rsidRPr="009E3F44">
        <w:rPr>
          <w:b/>
          <w:bCs/>
          <w:sz w:val="28"/>
          <w:szCs w:val="28"/>
        </w:rPr>
        <w:br/>
      </w:r>
      <w:r>
        <w:t xml:space="preserve">Vortrag von Dr. Claudius Küchle, </w:t>
      </w:r>
      <w:r w:rsidRPr="00BC5AC0">
        <w:t>MRI, Oberarzt, Abteilung</w:t>
      </w:r>
    </w:p>
    <w:p w14:paraId="0942B076" w14:textId="4B836E7C" w:rsidR="00BC5AC0" w:rsidRDefault="00BC5AC0" w:rsidP="00BC5AC0">
      <w:pPr>
        <w:pStyle w:val="Listenabsatz"/>
        <w:numPr>
          <w:ilvl w:val="1"/>
          <w:numId w:val="1"/>
        </w:numPr>
        <w:spacing w:before="360"/>
      </w:pPr>
      <w:r>
        <w:t>Bei ADPKD versagen die einzelnen Nierenfunktionen zu ganz unterschiedlichen Zeitpunkten.</w:t>
      </w:r>
      <w:r>
        <w:br/>
        <w:t>Beginn der Dialyse oft zwischen dem 60 und 64. Lebensjahr</w:t>
      </w:r>
      <w:r>
        <w:br/>
        <w:t xml:space="preserve">Durch die Möglichkeit der Dialyse haben nierenkranke Menschen ca. 10 Jahre Lebenszeit </w:t>
      </w:r>
      <w:r>
        <w:lastRenderedPageBreak/>
        <w:t>gewonnen und die meistens in einem besseren Zustand sich befindlichen ADPKD-Patienten noch mal 40 % dazu.</w:t>
      </w:r>
      <w:r>
        <w:br/>
        <w:t>Kein anderes Organersatzverfahren ist so wirksam.</w:t>
      </w:r>
      <w:r>
        <w:br/>
        <w:t>1945 wurde die erste Dialyse von Dr. Wilhelm Korff erfunden.</w:t>
      </w:r>
      <w:r>
        <w:br/>
        <w:t xml:space="preserve">Bei der Geburt haben wir 2,5 – 3 </w:t>
      </w:r>
      <w:proofErr w:type="spellStart"/>
      <w:r>
        <w:t>Mio</w:t>
      </w:r>
      <w:proofErr w:type="spellEnd"/>
      <w:r>
        <w:t xml:space="preserve"> Nierenkörperchen</w:t>
      </w:r>
    </w:p>
    <w:p w14:paraId="0C32705A" w14:textId="7674EBCB" w:rsidR="00BC5AC0" w:rsidRDefault="00BC5AC0" w:rsidP="00BC5AC0">
      <w:pPr>
        <w:pStyle w:val="Listenabsatz"/>
        <w:numPr>
          <w:ilvl w:val="1"/>
          <w:numId w:val="1"/>
        </w:numPr>
        <w:spacing w:before="360"/>
      </w:pPr>
      <w:r>
        <w:t>Georg Ganter war der Erfinder der Bauchfelldialyse. Leider ist diese Dialyseform nur bei ca. 20 % der PKD-Patienten machbar aufgrund der großen Nieren.</w:t>
      </w:r>
    </w:p>
    <w:p w14:paraId="7E86B717" w14:textId="353F9524" w:rsidR="00BC5AC0" w:rsidRDefault="00BC5AC0" w:rsidP="00BC5AC0">
      <w:pPr>
        <w:pStyle w:val="Listenabsatz"/>
        <w:numPr>
          <w:ilvl w:val="1"/>
          <w:numId w:val="1"/>
        </w:numPr>
        <w:spacing w:before="360"/>
      </w:pPr>
      <w:r>
        <w:t>Wann Dialysebeginn?</w:t>
      </w:r>
      <w:r>
        <w:br/>
        <w:t>Wenn die GFR bei ca. 15 ml liegt, sollte man darüber nachdenken.</w:t>
      </w:r>
      <w:r>
        <w:br/>
        <w:t>Beginn auf alle Fälle, bevor die Urämie anfängt.</w:t>
      </w:r>
    </w:p>
    <w:p w14:paraId="63494C82" w14:textId="1CEAA2D3" w:rsidR="00BC5AC0" w:rsidRDefault="00BC5AC0" w:rsidP="00BC5AC0">
      <w:pPr>
        <w:pStyle w:val="Listenabsatz"/>
        <w:numPr>
          <w:ilvl w:val="0"/>
          <w:numId w:val="1"/>
        </w:numPr>
        <w:spacing w:before="360"/>
      </w:pPr>
      <w:r w:rsidRPr="009E3F44">
        <w:rPr>
          <w:b/>
          <w:bCs/>
          <w:sz w:val="28"/>
          <w:szCs w:val="28"/>
        </w:rPr>
        <w:t>Wenn die Nieren ausfallen, Teil 2: Transplantation</w:t>
      </w:r>
      <w:r w:rsidRPr="009E3F44">
        <w:rPr>
          <w:b/>
          <w:bCs/>
          <w:sz w:val="28"/>
          <w:szCs w:val="28"/>
        </w:rPr>
        <w:br/>
      </w:r>
      <w:r>
        <w:t xml:space="preserve">Vortrag von Prof. Lutz </w:t>
      </w:r>
      <w:proofErr w:type="spellStart"/>
      <w:r>
        <w:t>Renders</w:t>
      </w:r>
      <w:proofErr w:type="spellEnd"/>
      <w:r>
        <w:t xml:space="preserve">, </w:t>
      </w:r>
      <w:r w:rsidRPr="00BC5AC0">
        <w:t>MRI, Leitender Oberarzt der Abteilung Nephrologie</w:t>
      </w:r>
      <w:r w:rsidR="005611AE">
        <w:br/>
      </w:r>
      <w:r w:rsidR="005611AE" w:rsidRPr="005611AE">
        <w:t>https://www.youtube.com/watch?v=5SjK0WwiXZc</w:t>
      </w:r>
    </w:p>
    <w:p w14:paraId="13FE3531" w14:textId="7FD47CC6" w:rsidR="00BC5AC0" w:rsidRDefault="00BC5AC0" w:rsidP="00BC5AC0">
      <w:pPr>
        <w:pStyle w:val="Listenabsatz"/>
        <w:numPr>
          <w:ilvl w:val="1"/>
          <w:numId w:val="1"/>
        </w:numPr>
        <w:spacing w:before="360"/>
      </w:pPr>
      <w:r>
        <w:t>Problem bei der TX ist evtl. die Größe der Zystennieren. Diese können 2-3 kg wiegen. Daher muss vor einer TX evtl. eine oder beide Nieren entfernt werden</w:t>
      </w:r>
      <w:r w:rsidR="00284688">
        <w:t>.</w:t>
      </w:r>
    </w:p>
    <w:p w14:paraId="78177BEA" w14:textId="7FB9C09E" w:rsidR="007E3531" w:rsidRDefault="00284688" w:rsidP="007E3531">
      <w:pPr>
        <w:pStyle w:val="Listenabsatz"/>
        <w:numPr>
          <w:ilvl w:val="1"/>
          <w:numId w:val="1"/>
        </w:numPr>
        <w:spacing w:before="360"/>
      </w:pPr>
      <w:r>
        <w:t>Vorbereitungsuntersuchungen vor einer TX:</w:t>
      </w:r>
      <w:r>
        <w:br/>
        <w:t>Infektionen, z.B. Zysteninfekte behandeln</w:t>
      </w:r>
      <w:r>
        <w:br/>
        <w:t>Nierentumoren ausschließen</w:t>
      </w:r>
      <w:r>
        <w:br/>
      </w:r>
      <w:proofErr w:type="spellStart"/>
      <w:r>
        <w:t>Cardiovaskuläre</w:t>
      </w:r>
      <w:proofErr w:type="spellEnd"/>
      <w:r>
        <w:t xml:space="preserve"> Situation klären</w:t>
      </w:r>
      <w:r>
        <w:br/>
        <w:t>Divertikel behandeln</w:t>
      </w:r>
      <w:r>
        <w:br/>
        <w:t>Andere Untersuchungen – Zystenblutungen, Nierengrößen bestimmen</w:t>
      </w:r>
      <w:r>
        <w:br/>
        <w:t xml:space="preserve">Aneurysmen – wenn vorhanden, überlegen, ob Behandlung nötig. Zumindest sollte einmal kontrolliert werden, auch wenn in der Familiengeschichte keine </w:t>
      </w:r>
      <w:proofErr w:type="spellStart"/>
      <w:r>
        <w:t>Aneuyrismen</w:t>
      </w:r>
      <w:proofErr w:type="spellEnd"/>
      <w:r>
        <w:t xml:space="preserve"> oder Schlaganfälle vorkamen.</w:t>
      </w:r>
      <w:r>
        <w:br/>
        <w:t xml:space="preserve">Hernien wie Bauchwandbrüche </w:t>
      </w:r>
    </w:p>
    <w:p w14:paraId="037EC335" w14:textId="141F76E5" w:rsidR="00284688" w:rsidRDefault="00284688" w:rsidP="007E3531">
      <w:pPr>
        <w:pStyle w:val="Listenabsatz"/>
        <w:numPr>
          <w:ilvl w:val="1"/>
          <w:numId w:val="1"/>
        </w:numPr>
        <w:spacing w:before="360"/>
      </w:pPr>
      <w:r>
        <w:t>Gibt es ein besonderes Tumorrisiko bei Zystennieren nach einer TX? Lt. einer Studie in den USA gibt es kein erhöhtes Risiko im Vergleich zu TX ohne Zystennieren.</w:t>
      </w:r>
    </w:p>
    <w:p w14:paraId="1620EEA9" w14:textId="17FA65F9" w:rsidR="00284688" w:rsidRDefault="00284688" w:rsidP="007E3531">
      <w:pPr>
        <w:pStyle w:val="Listenabsatz"/>
        <w:numPr>
          <w:ilvl w:val="1"/>
          <w:numId w:val="1"/>
        </w:numPr>
        <w:spacing w:before="360"/>
      </w:pPr>
      <w:r>
        <w:t xml:space="preserve">Diabetes nach TX: häufig wg. </w:t>
      </w:r>
      <w:proofErr w:type="spellStart"/>
      <w:r>
        <w:t>Cortisongabe</w:t>
      </w:r>
      <w:proofErr w:type="spellEnd"/>
      <w:r>
        <w:t xml:space="preserve"> und höherem Lebensalter der Patienten. ADPKD Patienten haben eine etwas höhere Disposition für Diabetes.</w:t>
      </w:r>
    </w:p>
    <w:p w14:paraId="21B81D0F" w14:textId="31520259" w:rsidR="00284688" w:rsidRDefault="00284688" w:rsidP="009E3F44">
      <w:pPr>
        <w:pStyle w:val="Listenabsatz"/>
        <w:numPr>
          <w:ilvl w:val="0"/>
          <w:numId w:val="1"/>
        </w:numPr>
        <w:spacing w:before="360"/>
      </w:pPr>
      <w:r w:rsidRPr="009E3F44">
        <w:rPr>
          <w:b/>
          <w:bCs/>
          <w:sz w:val="28"/>
          <w:szCs w:val="28"/>
        </w:rPr>
        <w:t>Neue Therapien</w:t>
      </w:r>
      <w:r w:rsidRPr="009E3F44">
        <w:rPr>
          <w:b/>
          <w:bCs/>
          <w:sz w:val="28"/>
          <w:szCs w:val="28"/>
        </w:rPr>
        <w:br/>
      </w:r>
      <w:r>
        <w:t xml:space="preserve">Vortrag von </w:t>
      </w:r>
      <w:r w:rsidRPr="00284688">
        <w:t xml:space="preserve">Prof. Lutz </w:t>
      </w:r>
      <w:proofErr w:type="spellStart"/>
      <w:r w:rsidRPr="00284688">
        <w:t>Renders</w:t>
      </w:r>
      <w:proofErr w:type="spellEnd"/>
      <w:r w:rsidRPr="00284688">
        <w:t xml:space="preserve"> - MRI, Leitender Oberarzt der Abteilung Nephrologie</w:t>
      </w:r>
      <w:r w:rsidR="005611AE">
        <w:br/>
      </w:r>
      <w:r w:rsidR="005611AE" w:rsidRPr="005611AE">
        <w:t>https://www.youtube.com/watch?v=tTgJfaAHXmg</w:t>
      </w:r>
      <w:r>
        <w:br/>
        <w:t xml:space="preserve">Die Entwicklungsphasen </w:t>
      </w:r>
      <w:r w:rsidR="009E3F44">
        <w:t xml:space="preserve">für neue Medikamente </w:t>
      </w:r>
      <w:r>
        <w:t>sind folgendermaßen:</w:t>
      </w:r>
      <w:r>
        <w:br/>
        <w:t>Phase 1: Testen mit gesunden Patienten auf Verträglichkeit, Dosisfindung usw.</w:t>
      </w:r>
      <w:r>
        <w:br/>
        <w:t>Phase 2: Testen mit betroffenen Patienten mit gefundener Dosis</w:t>
      </w:r>
      <w:r>
        <w:br/>
        <w:t>Phase 3: soll zur Zulassung führen, 150-300 Patienten mit Nierenerkrankung. Für die europäische Zulassung ist die EMA zuständig</w:t>
      </w:r>
      <w:r>
        <w:br/>
        <w:t>Phase 4: Medikamentenstudien nach erfolgter Zulassung für evtl. Nebenwirkungs</w:t>
      </w:r>
      <w:r w:rsidR="00C94B38">
        <w:t>findung</w:t>
      </w:r>
    </w:p>
    <w:p w14:paraId="0E8105F0" w14:textId="1005DE79" w:rsidR="00C94B38" w:rsidRPr="00294415" w:rsidRDefault="00C94B38" w:rsidP="00284688">
      <w:pPr>
        <w:pStyle w:val="Listenabsatz"/>
        <w:numPr>
          <w:ilvl w:val="1"/>
          <w:numId w:val="1"/>
        </w:numPr>
        <w:spacing w:before="360"/>
        <w:rPr>
          <w:b/>
          <w:bCs/>
        </w:rPr>
      </w:pPr>
      <w:r w:rsidRPr="00294415">
        <w:rPr>
          <w:b/>
          <w:bCs/>
        </w:rPr>
        <w:t xml:space="preserve">Welche Medikamente sind </w:t>
      </w:r>
      <w:proofErr w:type="gramStart"/>
      <w:r w:rsidRPr="00294415">
        <w:rPr>
          <w:b/>
          <w:bCs/>
        </w:rPr>
        <w:t>zur Zeit</w:t>
      </w:r>
      <w:proofErr w:type="gramEnd"/>
      <w:r w:rsidRPr="00294415">
        <w:rPr>
          <w:b/>
          <w:bCs/>
        </w:rPr>
        <w:t xml:space="preserve"> in der Entwicklung?</w:t>
      </w:r>
    </w:p>
    <w:tbl>
      <w:tblPr>
        <w:tblStyle w:val="Tabellenraster"/>
        <w:tblW w:w="0" w:type="auto"/>
        <w:tblLook w:val="04A0" w:firstRow="1" w:lastRow="0" w:firstColumn="1" w:lastColumn="0" w:noHBand="0" w:noVBand="1"/>
      </w:tblPr>
      <w:tblGrid>
        <w:gridCol w:w="1824"/>
        <w:gridCol w:w="1824"/>
        <w:gridCol w:w="1967"/>
        <w:gridCol w:w="1775"/>
        <w:gridCol w:w="1672"/>
      </w:tblGrid>
      <w:tr w:rsidR="00093DCF" w:rsidRPr="00093DCF" w14:paraId="0DB69321" w14:textId="282A8BD1" w:rsidTr="00294415">
        <w:tc>
          <w:tcPr>
            <w:tcW w:w="1824" w:type="dxa"/>
          </w:tcPr>
          <w:p w14:paraId="4EABA4B6" w14:textId="5D699128" w:rsidR="00093DCF" w:rsidRPr="00093DCF" w:rsidRDefault="00093DCF" w:rsidP="00294415">
            <w:pPr>
              <w:rPr>
                <w:b/>
                <w:bCs/>
              </w:rPr>
            </w:pPr>
            <w:r w:rsidRPr="00093DCF">
              <w:rPr>
                <w:b/>
                <w:bCs/>
              </w:rPr>
              <w:t>Name</w:t>
            </w:r>
          </w:p>
        </w:tc>
        <w:tc>
          <w:tcPr>
            <w:tcW w:w="1824" w:type="dxa"/>
          </w:tcPr>
          <w:p w14:paraId="29DAB262" w14:textId="48073A24" w:rsidR="00093DCF" w:rsidRPr="00093DCF" w:rsidRDefault="00093DCF" w:rsidP="00294415">
            <w:pPr>
              <w:rPr>
                <w:b/>
                <w:bCs/>
              </w:rPr>
            </w:pPr>
            <w:r w:rsidRPr="00093DCF">
              <w:rPr>
                <w:b/>
                <w:bCs/>
              </w:rPr>
              <w:t>Phase</w:t>
            </w:r>
          </w:p>
        </w:tc>
        <w:tc>
          <w:tcPr>
            <w:tcW w:w="1967" w:type="dxa"/>
          </w:tcPr>
          <w:p w14:paraId="45FA3264" w14:textId="7A11D0DA" w:rsidR="00093DCF" w:rsidRPr="00093DCF" w:rsidRDefault="00093DCF" w:rsidP="00294415">
            <w:pPr>
              <w:rPr>
                <w:b/>
                <w:bCs/>
              </w:rPr>
            </w:pPr>
            <w:r w:rsidRPr="00093DCF">
              <w:rPr>
                <w:b/>
                <w:bCs/>
              </w:rPr>
              <w:t>Teilnehmer</w:t>
            </w:r>
          </w:p>
        </w:tc>
        <w:tc>
          <w:tcPr>
            <w:tcW w:w="1775" w:type="dxa"/>
          </w:tcPr>
          <w:p w14:paraId="2A6C0989" w14:textId="5746BFA2" w:rsidR="00093DCF" w:rsidRPr="00093DCF" w:rsidRDefault="00093DCF" w:rsidP="00294415">
            <w:pPr>
              <w:rPr>
                <w:b/>
                <w:bCs/>
              </w:rPr>
            </w:pPr>
            <w:r w:rsidRPr="00093DCF">
              <w:rPr>
                <w:b/>
                <w:bCs/>
              </w:rPr>
              <w:t>GFR</w:t>
            </w:r>
          </w:p>
        </w:tc>
        <w:tc>
          <w:tcPr>
            <w:tcW w:w="1672" w:type="dxa"/>
          </w:tcPr>
          <w:p w14:paraId="03428A06" w14:textId="53BA9FFB" w:rsidR="00093DCF" w:rsidRPr="00093DCF" w:rsidRDefault="00093DCF" w:rsidP="00294415">
            <w:pPr>
              <w:rPr>
                <w:b/>
                <w:bCs/>
              </w:rPr>
            </w:pPr>
            <w:r w:rsidRPr="00093DCF">
              <w:rPr>
                <w:b/>
                <w:bCs/>
              </w:rPr>
              <w:t>Land</w:t>
            </w:r>
          </w:p>
        </w:tc>
      </w:tr>
      <w:tr w:rsidR="00093DCF" w14:paraId="03FACFC2" w14:textId="2AB5CB64" w:rsidTr="00294415">
        <w:tc>
          <w:tcPr>
            <w:tcW w:w="1824" w:type="dxa"/>
          </w:tcPr>
          <w:p w14:paraId="303721F8" w14:textId="08F51541" w:rsidR="00093DCF" w:rsidRDefault="00093DCF" w:rsidP="00294415">
            <w:r w:rsidRPr="00093DCF">
              <w:t>ALO1211</w:t>
            </w:r>
          </w:p>
        </w:tc>
        <w:tc>
          <w:tcPr>
            <w:tcW w:w="1824" w:type="dxa"/>
          </w:tcPr>
          <w:p w14:paraId="4E1EFDC9" w14:textId="4E2DA50F" w:rsidR="00093DCF" w:rsidRDefault="00093DCF" w:rsidP="00294415">
            <w:r>
              <w:t>Phase</w:t>
            </w:r>
            <w:r>
              <w:t xml:space="preserve"> 2</w:t>
            </w:r>
          </w:p>
        </w:tc>
        <w:tc>
          <w:tcPr>
            <w:tcW w:w="1967" w:type="dxa"/>
          </w:tcPr>
          <w:p w14:paraId="15FAE7EE" w14:textId="3837469C" w:rsidR="00093DCF" w:rsidRDefault="00093DCF" w:rsidP="00294415">
            <w:r w:rsidRPr="00093DCF">
              <w:t>18-55 Jahre</w:t>
            </w:r>
          </w:p>
        </w:tc>
        <w:tc>
          <w:tcPr>
            <w:tcW w:w="1775" w:type="dxa"/>
          </w:tcPr>
          <w:p w14:paraId="55A05C1E" w14:textId="4C69D208" w:rsidR="00093DCF" w:rsidRDefault="00093DCF" w:rsidP="00294415">
            <w:r w:rsidRPr="00093DCF">
              <w:t>GFR 30-89,</w:t>
            </w:r>
          </w:p>
        </w:tc>
        <w:tc>
          <w:tcPr>
            <w:tcW w:w="1672" w:type="dxa"/>
          </w:tcPr>
          <w:p w14:paraId="1B48928D" w14:textId="5254A971" w:rsidR="00093DCF" w:rsidRDefault="00093DCF" w:rsidP="00294415">
            <w:r>
              <w:t>Australische Firma</w:t>
            </w:r>
          </w:p>
        </w:tc>
      </w:tr>
      <w:tr w:rsidR="00093DCF" w14:paraId="7D2D4F38" w14:textId="4A2ADFD2" w:rsidTr="00294415">
        <w:tc>
          <w:tcPr>
            <w:tcW w:w="1824" w:type="dxa"/>
          </w:tcPr>
          <w:p w14:paraId="4800E552" w14:textId="34002E90" w:rsidR="00093DCF" w:rsidRDefault="00093DCF" w:rsidP="00294415">
            <w:r w:rsidRPr="00093DCF">
              <w:t>RGLS4321</w:t>
            </w:r>
          </w:p>
        </w:tc>
        <w:tc>
          <w:tcPr>
            <w:tcW w:w="1824" w:type="dxa"/>
          </w:tcPr>
          <w:p w14:paraId="656A5C32" w14:textId="17B0CB5C" w:rsidR="00093DCF" w:rsidRDefault="00093DCF" w:rsidP="00294415">
            <w:r w:rsidRPr="00093DCF">
              <w:t>Phase 2</w:t>
            </w:r>
          </w:p>
        </w:tc>
        <w:tc>
          <w:tcPr>
            <w:tcW w:w="1967" w:type="dxa"/>
          </w:tcPr>
          <w:p w14:paraId="3C5FC919" w14:textId="0BFB3CB1" w:rsidR="00093DCF" w:rsidRDefault="00093DCF" w:rsidP="00294415">
            <w:r>
              <w:t>18-70 Jahre</w:t>
            </w:r>
          </w:p>
        </w:tc>
        <w:tc>
          <w:tcPr>
            <w:tcW w:w="1775" w:type="dxa"/>
          </w:tcPr>
          <w:p w14:paraId="41B2A33E" w14:textId="399786C6" w:rsidR="00093DCF" w:rsidRDefault="00093DCF" w:rsidP="00294415">
            <w:r>
              <w:t>GFR 30-60, 60-90</w:t>
            </w:r>
          </w:p>
        </w:tc>
        <w:tc>
          <w:tcPr>
            <w:tcW w:w="1672" w:type="dxa"/>
          </w:tcPr>
          <w:p w14:paraId="69D968C2" w14:textId="77777777" w:rsidR="00093DCF" w:rsidRDefault="00093DCF" w:rsidP="00294415"/>
        </w:tc>
      </w:tr>
      <w:tr w:rsidR="00093DCF" w14:paraId="74F17F42" w14:textId="5494C2C7" w:rsidTr="00294415">
        <w:tc>
          <w:tcPr>
            <w:tcW w:w="1824" w:type="dxa"/>
          </w:tcPr>
          <w:p w14:paraId="4E452568" w14:textId="0A1AB7C8" w:rsidR="00093DCF" w:rsidRDefault="00093DCF" w:rsidP="00294415">
            <w:proofErr w:type="spellStart"/>
            <w:r w:rsidRPr="00093DCF">
              <w:t>Tesevatinib</w:t>
            </w:r>
            <w:proofErr w:type="spellEnd"/>
          </w:p>
        </w:tc>
        <w:tc>
          <w:tcPr>
            <w:tcW w:w="1824" w:type="dxa"/>
          </w:tcPr>
          <w:p w14:paraId="4DB8EF9B" w14:textId="418F7A32" w:rsidR="00093DCF" w:rsidRDefault="00093DCF" w:rsidP="00294415">
            <w:r>
              <w:t>Phase 3</w:t>
            </w:r>
          </w:p>
        </w:tc>
        <w:tc>
          <w:tcPr>
            <w:tcW w:w="1967" w:type="dxa"/>
          </w:tcPr>
          <w:p w14:paraId="4ACCEB91" w14:textId="14089167" w:rsidR="00093DCF" w:rsidRDefault="00093DCF" w:rsidP="00294415">
            <w:r w:rsidRPr="00093DCF">
              <w:t>18-60 Jahre</w:t>
            </w:r>
          </w:p>
        </w:tc>
        <w:tc>
          <w:tcPr>
            <w:tcW w:w="1775" w:type="dxa"/>
          </w:tcPr>
          <w:p w14:paraId="327606D9" w14:textId="1B9CC8EB" w:rsidR="00093DCF" w:rsidRDefault="00093DCF" w:rsidP="00294415">
            <w:r>
              <w:t>GFR 25-90</w:t>
            </w:r>
          </w:p>
        </w:tc>
        <w:tc>
          <w:tcPr>
            <w:tcW w:w="1672" w:type="dxa"/>
          </w:tcPr>
          <w:p w14:paraId="6A012023" w14:textId="7D29FB92" w:rsidR="00093DCF" w:rsidRDefault="00093DCF" w:rsidP="00294415">
            <w:r>
              <w:t>USA</w:t>
            </w:r>
          </w:p>
        </w:tc>
      </w:tr>
      <w:tr w:rsidR="00093DCF" w14:paraId="1F437215" w14:textId="483AC25F" w:rsidTr="00294415">
        <w:tc>
          <w:tcPr>
            <w:tcW w:w="1824" w:type="dxa"/>
          </w:tcPr>
          <w:p w14:paraId="6FABEB4E" w14:textId="0AA345C5" w:rsidR="00093DCF" w:rsidRDefault="00093DCF" w:rsidP="00294415">
            <w:r w:rsidRPr="00093DCF">
              <w:t>GLP2737</w:t>
            </w:r>
          </w:p>
        </w:tc>
        <w:tc>
          <w:tcPr>
            <w:tcW w:w="1824" w:type="dxa"/>
          </w:tcPr>
          <w:p w14:paraId="316EF191" w14:textId="3FDBDE88" w:rsidR="00093DCF" w:rsidRDefault="00093DCF" w:rsidP="00294415">
            <w:r>
              <w:t>Phase 2</w:t>
            </w:r>
          </w:p>
        </w:tc>
        <w:tc>
          <w:tcPr>
            <w:tcW w:w="1967" w:type="dxa"/>
          </w:tcPr>
          <w:p w14:paraId="0836269D" w14:textId="02246064" w:rsidR="00093DCF" w:rsidRDefault="00093DCF" w:rsidP="00294415">
            <w:r w:rsidRPr="00093DCF">
              <w:t>18-50 Jahre</w:t>
            </w:r>
          </w:p>
        </w:tc>
        <w:tc>
          <w:tcPr>
            <w:tcW w:w="1775" w:type="dxa"/>
          </w:tcPr>
          <w:p w14:paraId="20740DD5" w14:textId="27FE506A" w:rsidR="00093DCF" w:rsidRDefault="00093DCF" w:rsidP="00294415">
            <w:r w:rsidRPr="00093DCF">
              <w:t>GFR 30-60 (40-50 Jahre), 30-90 (18-24 Jahre)</w:t>
            </w:r>
          </w:p>
        </w:tc>
        <w:tc>
          <w:tcPr>
            <w:tcW w:w="1672" w:type="dxa"/>
          </w:tcPr>
          <w:p w14:paraId="113F8052" w14:textId="44459293" w:rsidR="00093DCF" w:rsidRDefault="00093DCF" w:rsidP="00294415">
            <w:r w:rsidRPr="00093DCF">
              <w:t>Europa, u.a. Uniklinik Dresden</w:t>
            </w:r>
          </w:p>
        </w:tc>
      </w:tr>
      <w:tr w:rsidR="00093DCF" w14:paraId="7F2901E4" w14:textId="4C2A7A0B" w:rsidTr="00294415">
        <w:tc>
          <w:tcPr>
            <w:tcW w:w="1824" w:type="dxa"/>
          </w:tcPr>
          <w:p w14:paraId="797C50F7" w14:textId="5B1D5378" w:rsidR="00093DCF" w:rsidRDefault="00093DCF" w:rsidP="00294415">
            <w:proofErr w:type="spellStart"/>
            <w:r w:rsidRPr="00093DCF">
              <w:lastRenderedPageBreak/>
              <w:t>Venglustat</w:t>
            </w:r>
            <w:proofErr w:type="spellEnd"/>
          </w:p>
        </w:tc>
        <w:tc>
          <w:tcPr>
            <w:tcW w:w="1824" w:type="dxa"/>
          </w:tcPr>
          <w:p w14:paraId="313AFC8E" w14:textId="21423994" w:rsidR="00093DCF" w:rsidRDefault="00093DCF" w:rsidP="00294415">
            <w:r>
              <w:t>abgebrochen im Mai 2021 wg. Nichtwirksamkeit</w:t>
            </w:r>
          </w:p>
        </w:tc>
        <w:tc>
          <w:tcPr>
            <w:tcW w:w="1967" w:type="dxa"/>
          </w:tcPr>
          <w:p w14:paraId="3EF7B1EC" w14:textId="77777777" w:rsidR="00093DCF" w:rsidRDefault="00093DCF" w:rsidP="00294415"/>
        </w:tc>
        <w:tc>
          <w:tcPr>
            <w:tcW w:w="1775" w:type="dxa"/>
          </w:tcPr>
          <w:p w14:paraId="3F717883" w14:textId="77777777" w:rsidR="00093DCF" w:rsidRDefault="00093DCF" w:rsidP="00294415"/>
        </w:tc>
        <w:tc>
          <w:tcPr>
            <w:tcW w:w="1672" w:type="dxa"/>
          </w:tcPr>
          <w:p w14:paraId="1498D0F0" w14:textId="77777777" w:rsidR="00093DCF" w:rsidRDefault="00093DCF" w:rsidP="00294415"/>
        </w:tc>
      </w:tr>
      <w:tr w:rsidR="00093DCF" w14:paraId="6AC41029" w14:textId="77777777" w:rsidTr="00294415">
        <w:tc>
          <w:tcPr>
            <w:tcW w:w="1824" w:type="dxa"/>
          </w:tcPr>
          <w:p w14:paraId="136EBF5B" w14:textId="495E9348" w:rsidR="00093DCF" w:rsidRPr="00093DCF" w:rsidRDefault="00093DCF" w:rsidP="00294415">
            <w:proofErr w:type="spellStart"/>
            <w:r w:rsidRPr="00093DCF">
              <w:t>Bardoxolone</w:t>
            </w:r>
            <w:proofErr w:type="spellEnd"/>
            <w:r w:rsidRPr="00093DCF">
              <w:t xml:space="preserve"> (Falcon-Studie):</w:t>
            </w:r>
          </w:p>
        </w:tc>
        <w:tc>
          <w:tcPr>
            <w:tcW w:w="1824" w:type="dxa"/>
          </w:tcPr>
          <w:p w14:paraId="1AAFCC58" w14:textId="1632050B" w:rsidR="00093DCF" w:rsidRDefault="00093DCF" w:rsidP="00294415">
            <w:r>
              <w:t>Phase 3</w:t>
            </w:r>
          </w:p>
        </w:tc>
        <w:tc>
          <w:tcPr>
            <w:tcW w:w="1967" w:type="dxa"/>
          </w:tcPr>
          <w:p w14:paraId="653F0DFB" w14:textId="16ED9388" w:rsidR="00093DCF" w:rsidRDefault="00093DCF" w:rsidP="00294415">
            <w:r w:rsidRPr="00093DCF">
              <w:t>18-70 Jahre</w:t>
            </w:r>
          </w:p>
        </w:tc>
        <w:tc>
          <w:tcPr>
            <w:tcW w:w="1775" w:type="dxa"/>
          </w:tcPr>
          <w:p w14:paraId="3F0830FF" w14:textId="49E4388D" w:rsidR="00093DCF" w:rsidRDefault="00093DCF" w:rsidP="00294415">
            <w:r w:rsidRPr="00093DCF">
              <w:t>GFR 30-60, 60-90</w:t>
            </w:r>
          </w:p>
        </w:tc>
        <w:tc>
          <w:tcPr>
            <w:tcW w:w="1672" w:type="dxa"/>
          </w:tcPr>
          <w:p w14:paraId="384C862C" w14:textId="0F10D75C" w:rsidR="00093DCF" w:rsidRDefault="00093DCF" w:rsidP="00294415">
            <w:r w:rsidRPr="00093DCF">
              <w:t>Deutschland, u.a. Klinik rechts der Isar in Münche</w:t>
            </w:r>
            <w:r>
              <w:t>n</w:t>
            </w:r>
          </w:p>
        </w:tc>
      </w:tr>
      <w:tr w:rsidR="00093DCF" w14:paraId="646B8571" w14:textId="77777777" w:rsidTr="00294415">
        <w:tc>
          <w:tcPr>
            <w:tcW w:w="1824" w:type="dxa"/>
          </w:tcPr>
          <w:p w14:paraId="2383B3A6" w14:textId="0DE8359B" w:rsidR="00093DCF" w:rsidRPr="00093DCF" w:rsidRDefault="00093DCF" w:rsidP="00294415">
            <w:proofErr w:type="spellStart"/>
            <w:r w:rsidRPr="00093DCF">
              <w:t>Lixivaptane</w:t>
            </w:r>
            <w:proofErr w:type="spellEnd"/>
            <w:r w:rsidRPr="00093DCF">
              <w:t>:</w:t>
            </w:r>
          </w:p>
        </w:tc>
        <w:tc>
          <w:tcPr>
            <w:tcW w:w="1824" w:type="dxa"/>
          </w:tcPr>
          <w:p w14:paraId="0E8F99A9" w14:textId="620E3001" w:rsidR="00093DCF" w:rsidRDefault="00093DCF" w:rsidP="00294415">
            <w:r>
              <w:t>Phase 3</w:t>
            </w:r>
          </w:p>
        </w:tc>
        <w:tc>
          <w:tcPr>
            <w:tcW w:w="1967" w:type="dxa"/>
          </w:tcPr>
          <w:p w14:paraId="36069E45" w14:textId="7844258D" w:rsidR="00093DCF" w:rsidRDefault="00093DCF" w:rsidP="00294415">
            <w:r w:rsidRPr="00093DCF">
              <w:t>18-60 Jahre</w:t>
            </w:r>
          </w:p>
        </w:tc>
        <w:tc>
          <w:tcPr>
            <w:tcW w:w="1775" w:type="dxa"/>
          </w:tcPr>
          <w:p w14:paraId="36F2878C" w14:textId="4C1FCAD6" w:rsidR="00093DCF" w:rsidRDefault="00093DCF" w:rsidP="00294415">
            <w:r w:rsidRPr="00093DCF">
              <w:t>GFR &gt;25</w:t>
            </w:r>
          </w:p>
        </w:tc>
        <w:tc>
          <w:tcPr>
            <w:tcW w:w="1672" w:type="dxa"/>
          </w:tcPr>
          <w:p w14:paraId="1146CE78" w14:textId="6908B870" w:rsidR="00093DCF" w:rsidRDefault="00294415" w:rsidP="00294415">
            <w:r>
              <w:t>i</w:t>
            </w:r>
            <w:r w:rsidRPr="00294415">
              <w:t xml:space="preserve">nsgesamt mehrere Studien, international, Teilnehmer, oraler Vasopressin-Hemmer. In die Studie waren auch Patienten eingeschlossen, die bei </w:t>
            </w:r>
            <w:proofErr w:type="spellStart"/>
            <w:r w:rsidRPr="00294415">
              <w:t>Tolvaptan</w:t>
            </w:r>
            <w:proofErr w:type="spellEnd"/>
            <w:r w:rsidRPr="00294415">
              <w:t xml:space="preserve"> Leberversagen hatten.</w:t>
            </w:r>
          </w:p>
        </w:tc>
      </w:tr>
      <w:tr w:rsidR="00093DCF" w14:paraId="486C1B8A" w14:textId="77777777" w:rsidTr="00294415">
        <w:tc>
          <w:tcPr>
            <w:tcW w:w="1824" w:type="dxa"/>
          </w:tcPr>
          <w:p w14:paraId="383367C7" w14:textId="2E61E21C" w:rsidR="00093DCF" w:rsidRPr="00093DCF" w:rsidRDefault="00093DCF" w:rsidP="00294415">
            <w:proofErr w:type="spellStart"/>
            <w:r w:rsidRPr="00093DCF">
              <w:t>Metformin</w:t>
            </w:r>
            <w:proofErr w:type="spellEnd"/>
          </w:p>
        </w:tc>
        <w:tc>
          <w:tcPr>
            <w:tcW w:w="1824" w:type="dxa"/>
          </w:tcPr>
          <w:p w14:paraId="27210680" w14:textId="49BE4007" w:rsidR="00093DCF" w:rsidRDefault="00093DCF" w:rsidP="00294415">
            <w:r>
              <w:t>Phase 2 b</w:t>
            </w:r>
          </w:p>
        </w:tc>
        <w:tc>
          <w:tcPr>
            <w:tcW w:w="1967" w:type="dxa"/>
          </w:tcPr>
          <w:p w14:paraId="390321BC" w14:textId="77777777" w:rsidR="00093DCF" w:rsidRDefault="00093DCF" w:rsidP="00294415"/>
        </w:tc>
        <w:tc>
          <w:tcPr>
            <w:tcW w:w="1775" w:type="dxa"/>
          </w:tcPr>
          <w:p w14:paraId="4831FCD7" w14:textId="647E28FF" w:rsidR="00093DCF" w:rsidRDefault="00294415" w:rsidP="00294415">
            <w:r>
              <w:t xml:space="preserve">GFR </w:t>
            </w:r>
            <w:r w:rsidRPr="00294415">
              <w:t>&gt;45</w:t>
            </w:r>
          </w:p>
        </w:tc>
        <w:tc>
          <w:tcPr>
            <w:tcW w:w="1672" w:type="dxa"/>
          </w:tcPr>
          <w:p w14:paraId="40BDB240" w14:textId="54070F26" w:rsidR="00093DCF" w:rsidRDefault="00294415" w:rsidP="00294415">
            <w:r w:rsidRPr="00294415">
              <w:t>Diabetesmittel, Studie mit 150 Personen in den USA</w:t>
            </w:r>
          </w:p>
        </w:tc>
      </w:tr>
      <w:tr w:rsidR="00093DCF" w14:paraId="5AADA6E1" w14:textId="77777777" w:rsidTr="00294415">
        <w:tc>
          <w:tcPr>
            <w:tcW w:w="1824" w:type="dxa"/>
          </w:tcPr>
          <w:p w14:paraId="522B960C" w14:textId="7C667219" w:rsidR="00093DCF" w:rsidRPr="00093DCF" w:rsidRDefault="00093DCF" w:rsidP="00294415">
            <w:r w:rsidRPr="00093DCF">
              <w:t>Pravastatin</w:t>
            </w:r>
          </w:p>
        </w:tc>
        <w:tc>
          <w:tcPr>
            <w:tcW w:w="1824" w:type="dxa"/>
          </w:tcPr>
          <w:p w14:paraId="6D282D0A" w14:textId="0AE6716F" w:rsidR="00093DCF" w:rsidRDefault="00294415" w:rsidP="00294415">
            <w:r>
              <w:t>???</w:t>
            </w:r>
          </w:p>
        </w:tc>
        <w:tc>
          <w:tcPr>
            <w:tcW w:w="1967" w:type="dxa"/>
          </w:tcPr>
          <w:p w14:paraId="3954BAF1" w14:textId="333AB563" w:rsidR="00093DCF" w:rsidRDefault="00294415" w:rsidP="00294415">
            <w:r>
              <w:t>???</w:t>
            </w:r>
          </w:p>
        </w:tc>
        <w:tc>
          <w:tcPr>
            <w:tcW w:w="1775" w:type="dxa"/>
          </w:tcPr>
          <w:p w14:paraId="02946F05" w14:textId="3714D674" w:rsidR="00093DCF" w:rsidRDefault="00294415" w:rsidP="00294415">
            <w:r>
              <w:t>???</w:t>
            </w:r>
          </w:p>
        </w:tc>
        <w:tc>
          <w:tcPr>
            <w:tcW w:w="1672" w:type="dxa"/>
          </w:tcPr>
          <w:p w14:paraId="1373C087" w14:textId="42D86D90" w:rsidR="00093DCF" w:rsidRDefault="00294415" w:rsidP="00294415">
            <w:r>
              <w:t>???</w:t>
            </w:r>
          </w:p>
        </w:tc>
      </w:tr>
    </w:tbl>
    <w:p w14:paraId="6CF1BDF5" w14:textId="1943B878" w:rsidR="001831CB" w:rsidRDefault="001831CB" w:rsidP="001831CB">
      <w:pPr>
        <w:pStyle w:val="Listenabsatz"/>
        <w:numPr>
          <w:ilvl w:val="0"/>
          <w:numId w:val="1"/>
        </w:numPr>
        <w:spacing w:before="360"/>
      </w:pPr>
      <w:r w:rsidRPr="009E3F44">
        <w:rPr>
          <w:b/>
          <w:bCs/>
          <w:sz w:val="28"/>
          <w:szCs w:val="28"/>
        </w:rPr>
        <w:t>Rehabilitation in der Nephrologie</w:t>
      </w:r>
      <w:r w:rsidRPr="009E3F44">
        <w:rPr>
          <w:b/>
          <w:bCs/>
          <w:sz w:val="28"/>
          <w:szCs w:val="28"/>
        </w:rPr>
        <w:br/>
      </w:r>
      <w:r>
        <w:t xml:space="preserve">Vortrag Dr. </w:t>
      </w:r>
      <w:proofErr w:type="spellStart"/>
      <w:r w:rsidRPr="001831CB">
        <w:t>Albersmeyer</w:t>
      </w:r>
      <w:proofErr w:type="spellEnd"/>
      <w:r w:rsidRPr="001831CB">
        <w:t xml:space="preserve"> - Nephrologie in der Fachklinik Bad Heilbrunn</w:t>
      </w:r>
      <w:r w:rsidR="005611AE">
        <w:br/>
      </w:r>
      <w:r w:rsidR="005611AE" w:rsidRPr="005611AE">
        <w:t>https://www.youtube.com/watch?v=X39lcLFpFa8</w:t>
      </w:r>
    </w:p>
    <w:p w14:paraId="7896AE13" w14:textId="4FBBECF4" w:rsidR="001831CB" w:rsidRDefault="001831CB" w:rsidP="001831CB">
      <w:pPr>
        <w:pStyle w:val="Listenabsatz"/>
        <w:numPr>
          <w:ilvl w:val="1"/>
          <w:numId w:val="1"/>
        </w:numPr>
        <w:spacing w:before="360"/>
      </w:pPr>
      <w:r>
        <w:t>Ziel ist es u.a., fit für eine Nierentransplantation zu werden. Es gibt ein Projekt der Fachklinik Bad Heilbrunn „Fit für die Nierentransplantation“ für Patienten auf der Warteliste in Kooperation mit der Uni Erlangen</w:t>
      </w:r>
    </w:p>
    <w:p w14:paraId="777E316B" w14:textId="372F6D8C" w:rsidR="001831CB" w:rsidRDefault="001831CB" w:rsidP="001831CB">
      <w:pPr>
        <w:pStyle w:val="Listenabsatz"/>
        <w:numPr>
          <w:ilvl w:val="1"/>
          <w:numId w:val="1"/>
        </w:numPr>
        <w:spacing w:before="360"/>
      </w:pPr>
      <w:r>
        <w:t>Nach einem Krankenhausaufenthalt kann man eine Anschlussheilbehandlung beantragen</w:t>
      </w:r>
    </w:p>
    <w:p w14:paraId="318A7139" w14:textId="3306CDE4" w:rsidR="001831CB" w:rsidRDefault="001831CB" w:rsidP="001831CB">
      <w:pPr>
        <w:pStyle w:val="Listenabsatz"/>
        <w:numPr>
          <w:ilvl w:val="1"/>
          <w:numId w:val="1"/>
        </w:numPr>
        <w:spacing w:before="360"/>
      </w:pPr>
      <w:r>
        <w:t>„Normale“ Reha: für Arbeitnehmer und Bezieher von Erwerbsminderungsrenten. Wird bezahlt von der Deutschen Rentenversicherung</w:t>
      </w:r>
    </w:p>
    <w:p w14:paraId="27155FEC" w14:textId="14DAD586" w:rsidR="001831CB" w:rsidRDefault="001831CB" w:rsidP="001831CB">
      <w:pPr>
        <w:pStyle w:val="Listenabsatz"/>
        <w:numPr>
          <w:ilvl w:val="1"/>
          <w:numId w:val="1"/>
        </w:numPr>
        <w:spacing w:before="360"/>
      </w:pPr>
      <w:r>
        <w:t>Anderer Kostenträger sind die Krankenkassen bei Nicht-Berufstätigen und Rentnern</w:t>
      </w:r>
    </w:p>
    <w:p w14:paraId="2A3E3C30" w14:textId="41AB7DA6" w:rsidR="001831CB" w:rsidRDefault="001831CB" w:rsidP="001831CB">
      <w:pPr>
        <w:pStyle w:val="Listenabsatz"/>
        <w:numPr>
          <w:ilvl w:val="1"/>
          <w:numId w:val="1"/>
        </w:numPr>
        <w:spacing w:before="360"/>
      </w:pPr>
      <w:r>
        <w:t>Bei Ablehnung auf alle Fälle Widerspruch einlegen</w:t>
      </w:r>
    </w:p>
    <w:p w14:paraId="6B002072" w14:textId="3B40803D" w:rsidR="005611AE" w:rsidRDefault="005611AE" w:rsidP="005611AE">
      <w:pPr>
        <w:spacing w:before="360"/>
      </w:pPr>
    </w:p>
    <w:p w14:paraId="34848664" w14:textId="322BD526" w:rsidR="005611AE" w:rsidRDefault="005611AE" w:rsidP="005611AE">
      <w:pPr>
        <w:spacing w:before="360"/>
      </w:pPr>
    </w:p>
    <w:sectPr w:rsidR="005611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D2BFA"/>
    <w:multiLevelType w:val="multilevel"/>
    <w:tmpl w:val="8F4E4F8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35E02C6"/>
    <w:multiLevelType w:val="multilevel"/>
    <w:tmpl w:val="9FDC3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08"/>
    <w:rsid w:val="00093DCF"/>
    <w:rsid w:val="001831CB"/>
    <w:rsid w:val="00284688"/>
    <w:rsid w:val="00294415"/>
    <w:rsid w:val="005611AE"/>
    <w:rsid w:val="006E4B08"/>
    <w:rsid w:val="007E3531"/>
    <w:rsid w:val="009A425D"/>
    <w:rsid w:val="009E3F44"/>
    <w:rsid w:val="00AF6356"/>
    <w:rsid w:val="00BC5AC0"/>
    <w:rsid w:val="00C94B38"/>
    <w:rsid w:val="00EE1A48"/>
    <w:rsid w:val="00F904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402A7"/>
  <w15:chartTrackingRefBased/>
  <w15:docId w15:val="{9EC221FE-8717-4033-AB7B-55575C63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4B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B08"/>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6E4B08"/>
    <w:pPr>
      <w:ind w:left="720"/>
      <w:contextualSpacing/>
    </w:pPr>
  </w:style>
  <w:style w:type="character" w:styleId="Hyperlink">
    <w:name w:val="Hyperlink"/>
    <w:basedOn w:val="Absatz-Standardschriftart"/>
    <w:uiPriority w:val="99"/>
    <w:unhideWhenUsed/>
    <w:rsid w:val="005611AE"/>
    <w:rPr>
      <w:color w:val="0563C1" w:themeColor="hyperlink"/>
      <w:u w:val="single"/>
    </w:rPr>
  </w:style>
  <w:style w:type="character" w:styleId="NichtaufgelsteErwhnung">
    <w:name w:val="Unresolved Mention"/>
    <w:basedOn w:val="Absatz-Standardschriftart"/>
    <w:uiPriority w:val="99"/>
    <w:semiHidden/>
    <w:unhideWhenUsed/>
    <w:rsid w:val="005611AE"/>
    <w:rPr>
      <w:color w:val="605E5C"/>
      <w:shd w:val="clear" w:color="auto" w:fill="E1DFDD"/>
    </w:rPr>
  </w:style>
  <w:style w:type="table" w:styleId="Tabellenraster">
    <w:name w:val="Table Grid"/>
    <w:basedOn w:val="NormaleTabelle"/>
    <w:uiPriority w:val="39"/>
    <w:rsid w:val="0009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kdcure.de/index.php?page=pkd-symposiu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1C1DA-76E9-4BAF-ABFD-8920672A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5494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Fritz</dc:creator>
  <cp:keywords/>
  <dc:description/>
  <cp:lastModifiedBy>Gabriele Fritz</cp:lastModifiedBy>
  <cp:revision>6</cp:revision>
  <dcterms:created xsi:type="dcterms:W3CDTF">2021-06-29T11:25:00Z</dcterms:created>
  <dcterms:modified xsi:type="dcterms:W3CDTF">2021-06-30T17:06:00Z</dcterms:modified>
</cp:coreProperties>
</file>